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CF669" w14:textId="0E97F823" w:rsidR="006331C4" w:rsidRPr="00406833" w:rsidRDefault="006331C4" w:rsidP="006331C4">
      <w:pPr>
        <w:rPr>
          <w:rFonts w:cstheme="minorHAnsi"/>
          <w:b/>
          <w:bCs/>
        </w:rPr>
      </w:pPr>
      <w:r w:rsidRPr="00406833">
        <w:rPr>
          <w:rFonts w:cstheme="minorHAnsi"/>
          <w:b/>
          <w:bCs/>
          <w:noProof/>
          <w:lang w:eastAsia="tr-TR"/>
        </w:rPr>
        <w:drawing>
          <wp:inline distT="0" distB="0" distL="0" distR="0" wp14:anchorId="45A54F5C" wp14:editId="3C772AAE">
            <wp:extent cx="1280160" cy="515028"/>
            <wp:effectExtent l="0" t="0" r="0" b="0"/>
            <wp:docPr id="2" name="Picture 2" descr="http://www.vektorelcizim.net/uploads/file/images/disisleri_bakanligi_yeni_logo_vektorel_yatay_10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ektorelcizim.net/uploads/file/images/disisleri_bakanligi_yeni_logo_vektorel_yatay_1011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8" cy="546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833">
        <w:rPr>
          <w:rFonts w:cstheme="minorHAnsi"/>
          <w:b/>
          <w:bCs/>
        </w:rPr>
        <w:tab/>
      </w:r>
    </w:p>
    <w:p w14:paraId="13073E94" w14:textId="0A6346BA" w:rsidR="0047189D" w:rsidRPr="00406833" w:rsidRDefault="00B14795">
      <w:pPr>
        <w:rPr>
          <w:rFonts w:cstheme="minorHAnsi"/>
          <w:b/>
          <w:bCs/>
        </w:rPr>
      </w:pPr>
      <w:r w:rsidRPr="00406833">
        <w:rPr>
          <w:rFonts w:cstheme="minorHAnsi"/>
          <w:b/>
          <w:bCs/>
        </w:rPr>
        <w:t>Ülke Künyesi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1984"/>
        <w:gridCol w:w="3119"/>
      </w:tblGrid>
      <w:tr w:rsidR="0047189D" w:rsidRPr="00406833" w14:paraId="1FFEA0CC" w14:textId="77777777" w:rsidTr="00B14795">
        <w:trPr>
          <w:gridAfter w:val="1"/>
          <w:wAfter w:w="3119" w:type="dxa"/>
          <w:trHeight w:val="983"/>
        </w:trPr>
        <w:tc>
          <w:tcPr>
            <w:tcW w:w="6374" w:type="dxa"/>
            <w:gridSpan w:val="4"/>
          </w:tcPr>
          <w:p w14:paraId="2F3BCB98" w14:textId="77777777" w:rsidR="0047189D" w:rsidRPr="00406833" w:rsidRDefault="0047189D" w:rsidP="00B14795">
            <w:pPr>
              <w:jc w:val="center"/>
              <w:rPr>
                <w:rFonts w:cstheme="minorHAnsi"/>
                <w:b/>
                <w:bCs/>
              </w:rPr>
            </w:pPr>
          </w:p>
          <w:p w14:paraId="459CB111" w14:textId="7C8EEE5F" w:rsidR="0047189D" w:rsidRPr="00406833" w:rsidRDefault="004C0D0A" w:rsidP="004C0D0A">
            <w:pPr>
              <w:jc w:val="center"/>
              <w:rPr>
                <w:rFonts w:cstheme="minorHAnsi"/>
                <w:b/>
                <w:bCs/>
              </w:rPr>
            </w:pPr>
            <w:r w:rsidRPr="00406833">
              <w:rPr>
                <w:rFonts w:cstheme="minorHAnsi"/>
                <w:b/>
                <w:bCs/>
              </w:rPr>
              <w:t>Suudi Arabistan Krallığı</w:t>
            </w:r>
          </w:p>
        </w:tc>
      </w:tr>
      <w:tr w:rsidR="0047189D" w:rsidRPr="00406833" w14:paraId="56AECC68" w14:textId="77777777" w:rsidTr="00B14795">
        <w:trPr>
          <w:gridAfter w:val="1"/>
          <w:wAfter w:w="3119" w:type="dxa"/>
          <w:trHeight w:val="813"/>
        </w:trPr>
        <w:tc>
          <w:tcPr>
            <w:tcW w:w="1980" w:type="dxa"/>
          </w:tcPr>
          <w:p w14:paraId="1DA31B13" w14:textId="77777777" w:rsidR="0047189D" w:rsidRPr="00406833" w:rsidRDefault="0047189D" w:rsidP="00B1479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06833">
              <w:rPr>
                <w:rFonts w:cstheme="minorHAnsi"/>
                <w:b/>
                <w:bCs/>
              </w:rPr>
              <w:t>Başkent</w:t>
            </w:r>
          </w:p>
          <w:p w14:paraId="749DC732" w14:textId="6B226949" w:rsidR="0047189D" w:rsidRPr="00406833" w:rsidRDefault="004C0D0A" w:rsidP="00B14795">
            <w:pPr>
              <w:spacing w:line="276" w:lineRule="auto"/>
              <w:jc w:val="center"/>
              <w:rPr>
                <w:rFonts w:cstheme="minorHAnsi"/>
              </w:rPr>
            </w:pPr>
            <w:r w:rsidRPr="00406833">
              <w:rPr>
                <w:rFonts w:cstheme="minorHAnsi"/>
              </w:rPr>
              <w:t>Riyad</w:t>
            </w:r>
          </w:p>
        </w:tc>
        <w:tc>
          <w:tcPr>
            <w:tcW w:w="2410" w:type="dxa"/>
            <w:gridSpan w:val="2"/>
          </w:tcPr>
          <w:p w14:paraId="768016FA" w14:textId="77777777" w:rsidR="0047189D" w:rsidRPr="00406833" w:rsidRDefault="0047189D" w:rsidP="00B1479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06833">
              <w:rPr>
                <w:rFonts w:cstheme="minorHAnsi"/>
                <w:b/>
                <w:bCs/>
              </w:rPr>
              <w:t>Nüfus</w:t>
            </w:r>
          </w:p>
          <w:p w14:paraId="5A2CD7C2" w14:textId="17881D63" w:rsidR="004C0D0A" w:rsidRPr="00406833" w:rsidRDefault="004C0D0A" w:rsidP="004C0D0A">
            <w:pPr>
              <w:jc w:val="both"/>
              <w:rPr>
                <w:rFonts w:cstheme="minorHAnsi"/>
              </w:rPr>
            </w:pPr>
            <w:r w:rsidRPr="00406833">
              <w:rPr>
                <w:rFonts w:cstheme="minorHAnsi"/>
              </w:rPr>
              <w:t>3</w:t>
            </w:r>
            <w:r w:rsidR="00FD2ED7" w:rsidRPr="00406833">
              <w:rPr>
                <w:rFonts w:cstheme="minorHAnsi"/>
              </w:rPr>
              <w:t>5</w:t>
            </w:r>
            <w:r w:rsidRPr="00406833">
              <w:rPr>
                <w:rFonts w:cstheme="minorHAnsi"/>
              </w:rPr>
              <w:t>,</w:t>
            </w:r>
            <w:r w:rsidR="00FD2ED7" w:rsidRPr="00406833">
              <w:rPr>
                <w:rFonts w:cstheme="minorHAnsi"/>
              </w:rPr>
              <w:t>3</w:t>
            </w:r>
            <w:r w:rsidRPr="00406833">
              <w:rPr>
                <w:rFonts w:cstheme="minorHAnsi"/>
              </w:rPr>
              <w:t xml:space="preserve"> milyon (</w:t>
            </w:r>
            <w:r w:rsidR="00FD2ED7" w:rsidRPr="00406833">
              <w:rPr>
                <w:rFonts w:cstheme="minorHAnsi"/>
              </w:rPr>
              <w:t>2024</w:t>
            </w:r>
            <w:r w:rsidRPr="00406833">
              <w:rPr>
                <w:rFonts w:cstheme="minorHAnsi"/>
              </w:rPr>
              <w:t>)</w:t>
            </w:r>
          </w:p>
          <w:p w14:paraId="63EFB7FB" w14:textId="595F7C14" w:rsidR="0047189D" w:rsidRPr="00406833" w:rsidRDefault="0047189D" w:rsidP="00B1479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AD5F81B" w14:textId="77777777" w:rsidR="0047189D" w:rsidRPr="00406833" w:rsidRDefault="0047189D" w:rsidP="00B1479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06833">
              <w:rPr>
                <w:rFonts w:cstheme="minorHAnsi"/>
                <w:b/>
                <w:bCs/>
              </w:rPr>
              <w:t>Yüzölçümü</w:t>
            </w:r>
          </w:p>
          <w:p w14:paraId="066B7C5E" w14:textId="7B953FF0" w:rsidR="0047189D" w:rsidRPr="00406833" w:rsidRDefault="004C0D0A" w:rsidP="00B14795">
            <w:pPr>
              <w:spacing w:line="276" w:lineRule="auto"/>
              <w:jc w:val="center"/>
              <w:rPr>
                <w:rFonts w:cstheme="minorHAnsi"/>
              </w:rPr>
            </w:pPr>
            <w:r w:rsidRPr="00406833">
              <w:rPr>
                <w:rFonts w:cstheme="minorHAnsi"/>
              </w:rPr>
              <w:t>2.149.690</w:t>
            </w:r>
            <w:r w:rsidR="0047189D" w:rsidRPr="00406833">
              <w:rPr>
                <w:rFonts w:cstheme="minorHAnsi"/>
              </w:rPr>
              <w:t xml:space="preserve"> km</w:t>
            </w:r>
            <w:r w:rsidR="0047189D" w:rsidRPr="00406833">
              <w:rPr>
                <w:rFonts w:cstheme="minorHAnsi"/>
                <w:vertAlign w:val="superscript"/>
              </w:rPr>
              <w:t>2</w:t>
            </w:r>
          </w:p>
        </w:tc>
      </w:tr>
      <w:tr w:rsidR="0047189D" w:rsidRPr="00406833" w14:paraId="48C69C6E" w14:textId="77777777" w:rsidTr="00B14795">
        <w:trPr>
          <w:trHeight w:val="1122"/>
        </w:trPr>
        <w:tc>
          <w:tcPr>
            <w:tcW w:w="3256" w:type="dxa"/>
            <w:gridSpan w:val="2"/>
          </w:tcPr>
          <w:p w14:paraId="5C3D94B7" w14:textId="125BA142" w:rsidR="0047189D" w:rsidRPr="00406833" w:rsidRDefault="0047189D" w:rsidP="00B1479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06833">
              <w:rPr>
                <w:rFonts w:cstheme="minorHAnsi"/>
                <w:b/>
                <w:bCs/>
              </w:rPr>
              <w:t>Devlet Başkanı</w:t>
            </w:r>
          </w:p>
          <w:p w14:paraId="5BE1B6F1" w14:textId="7A4DBCD8" w:rsidR="0047189D" w:rsidRPr="00406833" w:rsidRDefault="004C0D0A" w:rsidP="00B14795">
            <w:pPr>
              <w:spacing w:line="276" w:lineRule="auto"/>
              <w:jc w:val="center"/>
              <w:rPr>
                <w:rFonts w:cstheme="minorHAnsi"/>
              </w:rPr>
            </w:pPr>
            <w:r w:rsidRPr="00406833">
              <w:rPr>
                <w:rFonts w:cstheme="minorHAnsi"/>
                <w:color w:val="262B2C"/>
                <w:shd w:val="clear" w:color="auto" w:fill="FFFFFF"/>
              </w:rPr>
              <w:t xml:space="preserve">Kral Selman bin Abdülaziz El </w:t>
            </w:r>
            <w:proofErr w:type="spellStart"/>
            <w:r w:rsidRPr="00406833">
              <w:rPr>
                <w:rFonts w:cstheme="minorHAnsi"/>
                <w:color w:val="262B2C"/>
                <w:shd w:val="clear" w:color="auto" w:fill="FFFFFF"/>
              </w:rPr>
              <w:t>Suud</w:t>
            </w:r>
            <w:proofErr w:type="spellEnd"/>
          </w:p>
        </w:tc>
        <w:tc>
          <w:tcPr>
            <w:tcW w:w="3118" w:type="dxa"/>
            <w:gridSpan w:val="2"/>
          </w:tcPr>
          <w:p w14:paraId="78AC02EA" w14:textId="583EAD83" w:rsidR="004C0D0A" w:rsidRPr="00406833" w:rsidRDefault="004C0D0A" w:rsidP="004C0D0A">
            <w:pPr>
              <w:spacing w:line="276" w:lineRule="auto"/>
              <w:jc w:val="center"/>
              <w:rPr>
                <w:rStyle w:val="Strong"/>
                <w:rFonts w:cstheme="minorHAnsi"/>
                <w:color w:val="262B2C"/>
                <w:shd w:val="clear" w:color="auto" w:fill="FFFFFF"/>
              </w:rPr>
            </w:pPr>
            <w:r w:rsidRPr="00406833">
              <w:rPr>
                <w:rStyle w:val="Strong"/>
                <w:rFonts w:cstheme="minorHAnsi"/>
                <w:color w:val="262B2C"/>
                <w:shd w:val="clear" w:color="auto" w:fill="FFFFFF"/>
              </w:rPr>
              <w:t xml:space="preserve">Veliaht Prens ve Başbakan </w:t>
            </w:r>
          </w:p>
          <w:p w14:paraId="4906C480" w14:textId="77777777" w:rsidR="0047189D" w:rsidRPr="00406833" w:rsidRDefault="004C0D0A" w:rsidP="004C0D0A">
            <w:pPr>
              <w:spacing w:line="276" w:lineRule="auto"/>
              <w:jc w:val="center"/>
              <w:rPr>
                <w:rFonts w:cstheme="minorHAnsi"/>
              </w:rPr>
            </w:pPr>
            <w:r w:rsidRPr="00406833">
              <w:rPr>
                <w:rFonts w:cstheme="minorHAnsi"/>
                <w:color w:val="262B2C"/>
                <w:shd w:val="clear" w:color="auto" w:fill="FFFFFF"/>
              </w:rPr>
              <w:t xml:space="preserve">Muhammed bin Selman bin Abdülaziz El </w:t>
            </w:r>
            <w:proofErr w:type="spellStart"/>
            <w:r w:rsidRPr="00406833">
              <w:rPr>
                <w:rFonts w:cstheme="minorHAnsi"/>
                <w:color w:val="262B2C"/>
                <w:shd w:val="clear" w:color="auto" w:fill="FFFFFF"/>
              </w:rPr>
              <w:t>Suud</w:t>
            </w:r>
            <w:proofErr w:type="spellEnd"/>
            <w:r w:rsidRPr="00406833">
              <w:rPr>
                <w:rFonts w:cstheme="minorHAnsi"/>
              </w:rPr>
              <w:t xml:space="preserve"> </w:t>
            </w:r>
          </w:p>
          <w:p w14:paraId="0AE4A52D" w14:textId="76377815" w:rsidR="004C0D0A" w:rsidRPr="00406833" w:rsidRDefault="004C0D0A" w:rsidP="004C0D0A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1335315A" w14:textId="5121C7E6" w:rsidR="0047189D" w:rsidRPr="00406833" w:rsidRDefault="0047189D" w:rsidP="00B1479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06833">
              <w:rPr>
                <w:rFonts w:cstheme="minorHAnsi"/>
                <w:b/>
                <w:bCs/>
              </w:rPr>
              <w:t>Dışişleri Bakanı</w:t>
            </w:r>
          </w:p>
          <w:p w14:paraId="2C9BA99E" w14:textId="77777777" w:rsidR="004C0D0A" w:rsidRPr="00406833" w:rsidRDefault="004C0D0A" w:rsidP="004C0D0A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262B2C"/>
                <w:sz w:val="22"/>
                <w:szCs w:val="22"/>
              </w:rPr>
            </w:pPr>
            <w:r w:rsidRPr="00406833">
              <w:rPr>
                <w:rFonts w:asciiTheme="minorHAnsi" w:hAnsiTheme="minorHAnsi" w:cstheme="minorHAnsi"/>
                <w:color w:val="262B2C"/>
                <w:sz w:val="22"/>
                <w:szCs w:val="22"/>
              </w:rPr>
              <w:t xml:space="preserve">Prens Faysal Bin </w:t>
            </w:r>
            <w:proofErr w:type="spellStart"/>
            <w:r w:rsidRPr="00406833">
              <w:rPr>
                <w:rFonts w:asciiTheme="minorHAnsi" w:hAnsiTheme="minorHAnsi" w:cstheme="minorHAnsi"/>
                <w:color w:val="262B2C"/>
                <w:sz w:val="22"/>
                <w:szCs w:val="22"/>
              </w:rPr>
              <w:t>Farhan</w:t>
            </w:r>
            <w:proofErr w:type="spellEnd"/>
          </w:p>
          <w:p w14:paraId="6AC6EF75" w14:textId="77777777" w:rsidR="004C0D0A" w:rsidRPr="00406833" w:rsidRDefault="004C0D0A" w:rsidP="004C0D0A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color w:val="262B2C"/>
                <w:sz w:val="22"/>
                <w:szCs w:val="22"/>
              </w:rPr>
            </w:pPr>
            <w:r w:rsidRPr="00406833">
              <w:rPr>
                <w:rFonts w:asciiTheme="minorHAnsi" w:hAnsiTheme="minorHAnsi" w:cstheme="minorHAnsi"/>
                <w:color w:val="262B2C"/>
                <w:sz w:val="22"/>
                <w:szCs w:val="22"/>
              </w:rPr>
              <w:t xml:space="preserve">Bin Abdullah El </w:t>
            </w:r>
            <w:proofErr w:type="spellStart"/>
            <w:r w:rsidRPr="00406833">
              <w:rPr>
                <w:rFonts w:asciiTheme="minorHAnsi" w:hAnsiTheme="minorHAnsi" w:cstheme="minorHAnsi"/>
                <w:color w:val="262B2C"/>
                <w:sz w:val="22"/>
                <w:szCs w:val="22"/>
              </w:rPr>
              <w:t>Suud</w:t>
            </w:r>
            <w:proofErr w:type="spellEnd"/>
          </w:p>
          <w:p w14:paraId="00A15856" w14:textId="10365A9F" w:rsidR="0047189D" w:rsidRPr="00406833" w:rsidRDefault="0047189D" w:rsidP="004C0D0A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47189D" w:rsidRPr="00406833" w14:paraId="007AE684" w14:textId="77777777" w:rsidTr="00B14795">
        <w:trPr>
          <w:trHeight w:val="1422"/>
        </w:trPr>
        <w:tc>
          <w:tcPr>
            <w:tcW w:w="3256" w:type="dxa"/>
            <w:gridSpan w:val="2"/>
          </w:tcPr>
          <w:p w14:paraId="7CB58AB2" w14:textId="77777777" w:rsidR="0047189D" w:rsidRPr="00406833" w:rsidRDefault="0047189D" w:rsidP="00B1479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06833">
              <w:rPr>
                <w:rFonts w:cstheme="minorHAnsi"/>
                <w:b/>
                <w:bCs/>
              </w:rPr>
              <w:t>Konuşulan Diller</w:t>
            </w:r>
          </w:p>
          <w:p w14:paraId="503D6259" w14:textId="3439404F" w:rsidR="0047189D" w:rsidRPr="00406833" w:rsidRDefault="004C0D0A">
            <w:pPr>
              <w:spacing w:line="276" w:lineRule="auto"/>
              <w:jc w:val="center"/>
              <w:rPr>
                <w:rFonts w:cstheme="minorHAnsi"/>
              </w:rPr>
            </w:pPr>
            <w:r w:rsidRPr="00406833">
              <w:rPr>
                <w:rFonts w:cstheme="minorHAnsi"/>
              </w:rPr>
              <w:t>Arapça</w:t>
            </w:r>
            <w:r w:rsidR="00406833" w:rsidRPr="00406833">
              <w:rPr>
                <w:rFonts w:cstheme="minorHAnsi"/>
              </w:rPr>
              <w:t xml:space="preserve"> ve </w:t>
            </w:r>
            <w:r w:rsidR="00D422B4" w:rsidRPr="00406833">
              <w:rPr>
                <w:rFonts w:cstheme="minorHAnsi"/>
              </w:rPr>
              <w:t>İngilizce</w:t>
            </w:r>
          </w:p>
        </w:tc>
        <w:tc>
          <w:tcPr>
            <w:tcW w:w="3118" w:type="dxa"/>
            <w:gridSpan w:val="2"/>
          </w:tcPr>
          <w:p w14:paraId="5C9FB77F" w14:textId="77777777" w:rsidR="0047189D" w:rsidRPr="00406833" w:rsidRDefault="0047189D" w:rsidP="00B1479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06833">
              <w:rPr>
                <w:rFonts w:cstheme="minorHAnsi"/>
                <w:b/>
                <w:bCs/>
              </w:rPr>
              <w:t>Para Birimi</w:t>
            </w:r>
          </w:p>
          <w:tbl>
            <w:tblPr>
              <w:tblpPr w:leftFromText="45" w:rightFromText="45" w:vertAnchor="text"/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2"/>
            </w:tblGrid>
            <w:tr w:rsidR="004C0D0A" w:rsidRPr="00406833" w14:paraId="33E89692" w14:textId="77777777" w:rsidTr="004C0D0A">
              <w:tc>
                <w:tcPr>
                  <w:tcW w:w="1400" w:type="pct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9B15A78" w14:textId="77777777" w:rsidR="004C0D0A" w:rsidRPr="00406833" w:rsidRDefault="004C0D0A" w:rsidP="004C0D0A">
                  <w:pPr>
                    <w:spacing w:after="150" w:line="240" w:lineRule="auto"/>
                    <w:jc w:val="center"/>
                    <w:rPr>
                      <w:rFonts w:eastAsia="Times New Roman" w:cstheme="minorHAnsi"/>
                      <w:color w:val="262B2C"/>
                      <w:lang w:eastAsia="tr-TR"/>
                    </w:rPr>
                  </w:pPr>
                  <w:r w:rsidRPr="00406833">
                    <w:rPr>
                      <w:rFonts w:eastAsia="Times New Roman" w:cstheme="minorHAnsi"/>
                      <w:color w:val="262B2C"/>
                      <w:lang w:eastAsia="tr-TR"/>
                    </w:rPr>
                    <w:t>Suudi Arabistan Riyali</w:t>
                  </w:r>
                </w:p>
              </w:tc>
            </w:tr>
          </w:tbl>
          <w:p w14:paraId="066C02DB" w14:textId="1EEEC968" w:rsidR="0047189D" w:rsidRPr="00406833" w:rsidRDefault="0047189D" w:rsidP="00B1479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78B630CB" w14:textId="7CE524DE" w:rsidR="00B14795" w:rsidRPr="00406833" w:rsidRDefault="00B14795" w:rsidP="00B1479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47189D" w:rsidRPr="00406833" w14:paraId="52BA976F" w14:textId="77777777" w:rsidTr="006331C4">
        <w:trPr>
          <w:trHeight w:val="1260"/>
        </w:trPr>
        <w:tc>
          <w:tcPr>
            <w:tcW w:w="9493" w:type="dxa"/>
            <w:gridSpan w:val="5"/>
          </w:tcPr>
          <w:p w14:paraId="741B5664" w14:textId="77777777" w:rsidR="0047189D" w:rsidRPr="00406833" w:rsidRDefault="0047189D" w:rsidP="00B14795">
            <w:pPr>
              <w:spacing w:line="276" w:lineRule="auto"/>
              <w:rPr>
                <w:rFonts w:cstheme="minorHAnsi"/>
                <w:b/>
                <w:bCs/>
              </w:rPr>
            </w:pPr>
            <w:r w:rsidRPr="00406833">
              <w:rPr>
                <w:rFonts w:cstheme="minorHAnsi"/>
                <w:b/>
                <w:bCs/>
              </w:rPr>
              <w:t>Etnik Yapı</w:t>
            </w:r>
          </w:p>
          <w:p w14:paraId="4A0A9BC7" w14:textId="16169FE1" w:rsidR="004C0D0A" w:rsidRPr="00406833" w:rsidRDefault="004C0D0A" w:rsidP="006E3A8F">
            <w:pPr>
              <w:jc w:val="both"/>
              <w:rPr>
                <w:rFonts w:cstheme="minorHAnsi"/>
              </w:rPr>
            </w:pPr>
            <w:r w:rsidRPr="00406833">
              <w:rPr>
                <w:rFonts w:cstheme="minorHAnsi"/>
              </w:rPr>
              <w:t xml:space="preserve">Nüfusun %58,4’ünü Suudi Arabistan vatandaşları oluşturmaktadır. Suudi Arabistan’da ayrıca, </w:t>
            </w:r>
            <w:r w:rsidR="00FD2ED7" w:rsidRPr="00406833">
              <w:rPr>
                <w:rFonts w:cstheme="minorHAnsi"/>
              </w:rPr>
              <w:t xml:space="preserve">yaklaşık </w:t>
            </w:r>
            <w:r w:rsidRPr="00406833">
              <w:rPr>
                <w:rFonts w:cstheme="minorHAnsi"/>
              </w:rPr>
              <w:t>13 milyonu aşkın yabancı işçi yaşamakta olup, Hindistan, Pakistan, Bangladeş, Filipinler, Sudan, Etiyopya, Eritre, Yemen, Mısır ve Sri Lanka kökenliler en kalabalık yabancı grupları oluşturmaktadırlar.</w:t>
            </w:r>
          </w:p>
          <w:p w14:paraId="00C2F841" w14:textId="7727B9AA" w:rsidR="0047189D" w:rsidRPr="00406833" w:rsidRDefault="0047189D" w:rsidP="00B14795">
            <w:pPr>
              <w:spacing w:line="276" w:lineRule="auto"/>
              <w:rPr>
                <w:rFonts w:cstheme="minorHAnsi"/>
              </w:rPr>
            </w:pPr>
          </w:p>
        </w:tc>
      </w:tr>
      <w:tr w:rsidR="004C0D0A" w:rsidRPr="00406833" w14:paraId="7FCB0C62" w14:textId="77777777" w:rsidTr="004C0D0A">
        <w:trPr>
          <w:trHeight w:val="636"/>
        </w:trPr>
        <w:tc>
          <w:tcPr>
            <w:tcW w:w="9493" w:type="dxa"/>
            <w:gridSpan w:val="5"/>
          </w:tcPr>
          <w:p w14:paraId="3B977E40" w14:textId="77777777" w:rsidR="004C0D0A" w:rsidRPr="00406833" w:rsidRDefault="004C0D0A" w:rsidP="004C0D0A">
            <w:pPr>
              <w:spacing w:line="276" w:lineRule="auto"/>
              <w:rPr>
                <w:rFonts w:cstheme="minorHAnsi"/>
                <w:b/>
                <w:bCs/>
              </w:rPr>
            </w:pPr>
            <w:r w:rsidRPr="00406833">
              <w:rPr>
                <w:rFonts w:cstheme="minorHAnsi"/>
                <w:b/>
                <w:bCs/>
              </w:rPr>
              <w:t>Önemli Siyasi Partiler</w:t>
            </w:r>
          </w:p>
          <w:p w14:paraId="2D54503A" w14:textId="77777777" w:rsidR="004C0D0A" w:rsidRPr="00406833" w:rsidRDefault="004C0D0A" w:rsidP="004C0D0A">
            <w:pPr>
              <w:rPr>
                <w:rFonts w:cstheme="minorHAnsi"/>
              </w:rPr>
            </w:pPr>
            <w:r w:rsidRPr="00406833">
              <w:rPr>
                <w:rFonts w:cstheme="minorHAnsi"/>
              </w:rPr>
              <w:t>Suudi Arabistan’da siyasi parti bulunmamaktadır.</w:t>
            </w:r>
          </w:p>
          <w:p w14:paraId="6C8685E1" w14:textId="51CCDF18" w:rsidR="004C0D0A" w:rsidRPr="00406833" w:rsidRDefault="004C0D0A" w:rsidP="004C0D0A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47189D" w:rsidRPr="004C0D0A" w14:paraId="11FA1513" w14:textId="77777777" w:rsidTr="004C0D0A">
        <w:trPr>
          <w:trHeight w:val="2717"/>
        </w:trPr>
        <w:tc>
          <w:tcPr>
            <w:tcW w:w="9493" w:type="dxa"/>
            <w:gridSpan w:val="5"/>
          </w:tcPr>
          <w:p w14:paraId="3A0E3375" w14:textId="141E77DD" w:rsidR="0047189D" w:rsidRPr="00406833" w:rsidRDefault="0047189D" w:rsidP="00B14795">
            <w:pPr>
              <w:jc w:val="both"/>
              <w:rPr>
                <w:rFonts w:cstheme="minorHAnsi"/>
                <w:b/>
                <w:bCs/>
              </w:rPr>
            </w:pPr>
            <w:r w:rsidRPr="00406833">
              <w:rPr>
                <w:rFonts w:cstheme="minorHAnsi"/>
                <w:b/>
                <w:bCs/>
              </w:rPr>
              <w:t>Üyesi Olduğu Uluslararası Kuruluşlar</w:t>
            </w:r>
          </w:p>
          <w:p w14:paraId="681B0251" w14:textId="77777777" w:rsidR="00B14795" w:rsidRPr="00406833" w:rsidRDefault="00B14795" w:rsidP="00B14795">
            <w:pPr>
              <w:jc w:val="both"/>
              <w:rPr>
                <w:rFonts w:cstheme="minorHAnsi"/>
                <w:b/>
                <w:bCs/>
              </w:rPr>
            </w:pPr>
          </w:p>
          <w:p w14:paraId="57B6C968" w14:textId="0186E4C5" w:rsidR="0047189D" w:rsidRPr="00406833" w:rsidRDefault="004C0D0A" w:rsidP="005C5FBD">
            <w:pPr>
              <w:jc w:val="both"/>
              <w:rPr>
                <w:rFonts w:cstheme="minorHAnsi"/>
              </w:rPr>
            </w:pPr>
            <w:r w:rsidRPr="00406833">
              <w:rPr>
                <w:rFonts w:cstheme="minorHAnsi"/>
              </w:rPr>
              <w:t xml:space="preserve">BM, Körfez </w:t>
            </w:r>
            <w:proofErr w:type="gramStart"/>
            <w:r w:rsidRPr="00406833">
              <w:rPr>
                <w:rFonts w:cstheme="minorHAnsi"/>
              </w:rPr>
              <w:t>İşbirliği</w:t>
            </w:r>
            <w:proofErr w:type="gramEnd"/>
            <w:r w:rsidRPr="00406833">
              <w:rPr>
                <w:rFonts w:cstheme="minorHAnsi"/>
              </w:rPr>
              <w:t xml:space="preserve"> Konseyi, Arap Ligi, İslam İşbirliği Teşkilatı, BM Filistinli Mültecilere Yardım Kuruluşu (UNRWA) Dünya Ticaret Örgütü (WTO), Petrol İhraç Eden Arap Ülkeleri (OAPEC), Petrol İhraç Eden Ülkeler Teşkilatı (OPEC), G-20, Uluslararası Atom Enerjisi Kurumu (IAEA), Kimyasal Silahların Yasaklanması Örgütü (OPCW), Uluslararası Para Fonu (IMF), </w:t>
            </w:r>
            <w:r w:rsidR="005C5FBD" w:rsidRPr="00406833">
              <w:rPr>
                <w:rFonts w:cstheme="minorHAnsi"/>
              </w:rPr>
              <w:t xml:space="preserve">Uluslararası Denizcilik Örgütü (IMO), </w:t>
            </w:r>
            <w:r w:rsidRPr="00406833">
              <w:rPr>
                <w:rFonts w:cstheme="minorHAnsi"/>
              </w:rPr>
              <w:t>Arap Para Fonu (AMF), Afrika Kalkınma Bankası (</w:t>
            </w:r>
            <w:proofErr w:type="spellStart"/>
            <w:r w:rsidRPr="00406833">
              <w:rPr>
                <w:rFonts w:cstheme="minorHAnsi"/>
              </w:rPr>
              <w:t>AfDB</w:t>
            </w:r>
            <w:proofErr w:type="spellEnd"/>
            <w:r w:rsidRPr="00406833">
              <w:rPr>
                <w:rFonts w:cstheme="minorHAnsi"/>
              </w:rPr>
              <w:t>)*</w:t>
            </w:r>
          </w:p>
          <w:p w14:paraId="740CD2BE" w14:textId="77777777" w:rsidR="004C0D0A" w:rsidRPr="00406833" w:rsidRDefault="004C0D0A" w:rsidP="00B14795">
            <w:pPr>
              <w:jc w:val="both"/>
              <w:rPr>
                <w:rFonts w:cstheme="minorHAnsi"/>
              </w:rPr>
            </w:pPr>
          </w:p>
          <w:p w14:paraId="40F31456" w14:textId="23C62EF2" w:rsidR="004C0D0A" w:rsidRPr="004C0D0A" w:rsidRDefault="004C0D0A" w:rsidP="004C0D0A">
            <w:pPr>
              <w:jc w:val="both"/>
              <w:rPr>
                <w:rFonts w:cstheme="minorHAnsi"/>
              </w:rPr>
            </w:pPr>
            <w:r w:rsidRPr="00406833">
              <w:rPr>
                <w:rFonts w:cstheme="minorHAnsi"/>
              </w:rPr>
              <w:t xml:space="preserve">* Suudi Arabistan, </w:t>
            </w:r>
            <w:proofErr w:type="spellStart"/>
            <w:r w:rsidRPr="00406833">
              <w:rPr>
                <w:rFonts w:cstheme="minorHAnsi"/>
              </w:rPr>
              <w:t>AfDB’nin</w:t>
            </w:r>
            <w:proofErr w:type="spellEnd"/>
            <w:r w:rsidRPr="00406833">
              <w:rPr>
                <w:rFonts w:cstheme="minorHAnsi"/>
              </w:rPr>
              <w:t xml:space="preserve"> bölge harici üyesidir.</w:t>
            </w:r>
            <w:bookmarkStart w:id="0" w:name="_GoBack"/>
            <w:bookmarkEnd w:id="0"/>
          </w:p>
          <w:p w14:paraId="337105D9" w14:textId="1A596F3A" w:rsidR="004C0D0A" w:rsidRPr="004C0D0A" w:rsidRDefault="004C0D0A" w:rsidP="00B14795">
            <w:pPr>
              <w:jc w:val="both"/>
              <w:rPr>
                <w:rFonts w:cstheme="minorHAnsi"/>
              </w:rPr>
            </w:pPr>
          </w:p>
        </w:tc>
      </w:tr>
    </w:tbl>
    <w:p w14:paraId="288A5ED0" w14:textId="77777777" w:rsidR="00376992" w:rsidRPr="004C0D0A" w:rsidRDefault="00376992">
      <w:pPr>
        <w:rPr>
          <w:rFonts w:cstheme="minorHAnsi"/>
        </w:rPr>
      </w:pPr>
    </w:p>
    <w:sectPr w:rsidR="00376992" w:rsidRPr="004C0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57"/>
    <w:rsid w:val="000566BC"/>
    <w:rsid w:val="0007114B"/>
    <w:rsid w:val="00090F87"/>
    <w:rsid w:val="00152B95"/>
    <w:rsid w:val="00193B5E"/>
    <w:rsid w:val="001C42DD"/>
    <w:rsid w:val="001F40F4"/>
    <w:rsid w:val="00376992"/>
    <w:rsid w:val="003C1079"/>
    <w:rsid w:val="00406833"/>
    <w:rsid w:val="00411628"/>
    <w:rsid w:val="004377FE"/>
    <w:rsid w:val="0047189D"/>
    <w:rsid w:val="004C0D0A"/>
    <w:rsid w:val="00522352"/>
    <w:rsid w:val="005340B8"/>
    <w:rsid w:val="005A2971"/>
    <w:rsid w:val="005C5FBD"/>
    <w:rsid w:val="00631F57"/>
    <w:rsid w:val="006331C4"/>
    <w:rsid w:val="00641C78"/>
    <w:rsid w:val="006E3A8F"/>
    <w:rsid w:val="00723D89"/>
    <w:rsid w:val="007C4329"/>
    <w:rsid w:val="007D216B"/>
    <w:rsid w:val="007D739A"/>
    <w:rsid w:val="007F27EA"/>
    <w:rsid w:val="007F43BB"/>
    <w:rsid w:val="0081079B"/>
    <w:rsid w:val="00880CF2"/>
    <w:rsid w:val="009E69D0"/>
    <w:rsid w:val="00A21026"/>
    <w:rsid w:val="00AF4B18"/>
    <w:rsid w:val="00B14795"/>
    <w:rsid w:val="00C33DF7"/>
    <w:rsid w:val="00D422B4"/>
    <w:rsid w:val="00D61039"/>
    <w:rsid w:val="00D83DEB"/>
    <w:rsid w:val="00D859D4"/>
    <w:rsid w:val="00D9047C"/>
    <w:rsid w:val="00DE1EBE"/>
    <w:rsid w:val="00F11614"/>
    <w:rsid w:val="00FD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0A99"/>
  <w15:chartTrackingRefBased/>
  <w15:docId w15:val="{83EF2712-6192-466A-A61C-9638D421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C0D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0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8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1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404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553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8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E39D7-444A-4339-A3C4-5620D7DB6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Akdaş</dc:creator>
  <cp:keywords/>
  <dc:description/>
  <cp:lastModifiedBy>Mehmet Akdaş</cp:lastModifiedBy>
  <cp:revision>37</cp:revision>
  <cp:lastPrinted>2026-05-11T09:16:00Z</cp:lastPrinted>
  <dcterms:created xsi:type="dcterms:W3CDTF">2022-01-04T11:32:00Z</dcterms:created>
  <dcterms:modified xsi:type="dcterms:W3CDTF">2026-05-12T12:24:00Z</dcterms:modified>
</cp:coreProperties>
</file>